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70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Návrh pro převod investic na DIP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Převody budeme provádět nejdříve od května 2024. Uskutečnění převodu není začátkem roku podstatné, nebude mít dopad na daně.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Převody prostředků mezi účty budeme provádět jednou měsíčně, a to vždy v posledním týdnu v měsíci.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Obdobný postup je možné použít i na: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převod z CZK na EUR účet (a obráceně);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převod po vkladu s chybným vs - převod na správný účet;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převod ze špatně nastaveného účtu (např. předplacený vstupní  poplatek místo průběžného).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VŽDY musí jít o účty stejného klienta</w:t>
      </w:r>
      <w:r w:rsidDel="00000000" w:rsidR="00000000" w:rsidRPr="00000000">
        <w:rPr>
          <w:rtl w:val="0"/>
        </w:rPr>
        <w:t xml:space="preserve">. Na převod na účet jiného klienta je potřeba řešit darovací smlouvu.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Postup: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Poradce založí nový účet DIP.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Převod nesmí být z DIP účtu.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Cílový účet by měl mít nastaveny strategie v portfoliích stejně jako na účtu, ze kterého se budou prostředky převádět. Pokud nebudou shodné strategie, musí klient odsouhlasit možnost prodejů.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Sazebník služeb na cílovém účtu – Jednorázový vstupní poplatek musí být nastaven na 100 % slevu nebo již musí být plně splacen.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Následné vstupní poplatky a Mng. Fee případně výkonnostní poplatek mohou být nastaveny libovolně.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Klient elektronicky podepíše založení účtu, účet se po podpisu rovnou zaktivuje, protože klient je již ověřen.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Klient následně napíše ze svého e-mailu, který má autorizovaný u svojí smlouvy na adresu podpory - podpora@edwardinvest.cz text podle varianty převodu: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heading=h.pde40na5qbd" w:id="1"/>
      <w:bookmarkEnd w:id="1"/>
      <w:r w:rsidDel="00000000" w:rsidR="00000000" w:rsidRPr="00000000">
        <w:rPr>
          <w:rtl w:val="0"/>
        </w:rPr>
        <w:t xml:space="preserve">Převod celého účtu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Jen POZOR, převod bude CASH&gt;CASH, K1&gt;K1, K2&gt;K2 a K3&gt;K3. Pokud je potřeba nějaká úprava, např. vše se převede do K3, tak není možné toto použít.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Při převodu celého účtu stačí formulace: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Žádám o provedení převodu všech prostředků z investiční smlouvy číslo: (číslo investiční smlouvy) na investiční smlouvu číslo: (číslo investiční smlouvy).</w:t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Beru na vědomí, že mohu prodávat cenné papíry ve ztrátě. </w:t>
      </w:r>
      <w:r w:rsidDel="00000000" w:rsidR="00000000" w:rsidRPr="00000000">
        <w:rPr>
          <w:b w:val="1"/>
          <w:rtl w:val="0"/>
        </w:rPr>
        <w:t xml:space="preserve">Tuto formulaci pouze, pokud je změna složení portfolia.</w:t>
      </w:r>
    </w:p>
    <w:p w:rsidR="00000000" w:rsidDel="00000000" w:rsidP="00000000" w:rsidRDefault="00000000" w:rsidRPr="00000000" w14:paraId="0000001B">
      <w:pPr>
        <w:pStyle w:val="Heading2"/>
        <w:rPr/>
      </w:pPr>
      <w:bookmarkStart w:colFirst="0" w:colLast="0" w:name="_heading=h.vn26dfi4qbm1" w:id="2"/>
      <w:bookmarkEnd w:id="2"/>
      <w:r w:rsidDel="00000000" w:rsidR="00000000" w:rsidRPr="00000000">
        <w:rPr>
          <w:rtl w:val="0"/>
        </w:rPr>
        <w:t xml:space="preserve">Varianta převodu části účtu (vyjádřené procentem)</w:t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Prosím o převod mezi mými účty Edward. Převeďte prosím z účtu číslo (číslo investiční smlouvy, variabilní symbol pro vklady) na účet číslo (číslo investiční smlouvy, variabilní symbol pro vklady). Převod má být na shodná portfolia, a to v poměrné části …………. % a zároveň převod odpovídající částky v peněžence. Jsem si vědom toho, že převedená částka bude zaokrouhlena na stokoruny.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Beru na vědomí, že mohu prodávat cenné papíry ve ztrátě.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Tuto formulaci pouze, pokud je změna složení portfolia.</w:t>
      </w:r>
    </w:p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heading=h.8enykpzbk2ul" w:id="3"/>
      <w:bookmarkEnd w:id="3"/>
      <w:r w:rsidDel="00000000" w:rsidR="00000000" w:rsidRPr="00000000">
        <w:rPr>
          <w:rtl w:val="0"/>
        </w:rPr>
        <w:t xml:space="preserve">Varianta převodu celého konkrétního kyblíku (ale ne celého účtu):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Prosím o převod mezi mými účty Edward. Převeďte prosím z účtu číslo (číslo investiční smlouvy, variabilní symbol pro vklady) na účet číslo (číslo investiční smlouvy, variabilní symbol pro vklady) na vlastní žádost. Převeďte všechny prostředky z krátkodobého/střednědobého/dlouhodobého portfolia číslo ……… (číslo modelového portfolia, např. ESG8) do krátkodobého/střednědobého/dlouhodobého portfolia číslo ……… (číslo modelového portfolia, např. MP1). Zároveň převeďte i 1% objemu převodu z Peněženky do Peněženky.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Beru na vědomí, že mohu prodávat cenné papíry ve ztrátě. </w:t>
      </w:r>
      <w:r w:rsidDel="00000000" w:rsidR="00000000" w:rsidRPr="00000000">
        <w:rPr>
          <w:b w:val="1"/>
          <w:rtl w:val="0"/>
        </w:rPr>
        <w:t xml:space="preserve">Tuto formulaci pouze, pokud je změna složení portfolia.</w:t>
      </w:r>
    </w:p>
    <w:p w:rsidR="00000000" w:rsidDel="00000000" w:rsidP="00000000" w:rsidRDefault="00000000" w:rsidRPr="00000000" w14:paraId="00000022">
      <w:pPr>
        <w:pStyle w:val="Heading2"/>
        <w:rPr/>
      </w:pPr>
      <w:bookmarkStart w:colFirst="0" w:colLast="0" w:name="_heading=h.1jism2bn6idk" w:id="4"/>
      <w:bookmarkEnd w:id="4"/>
      <w:r w:rsidDel="00000000" w:rsidR="00000000" w:rsidRPr="00000000">
        <w:rPr>
          <w:rtl w:val="0"/>
        </w:rPr>
        <w:t xml:space="preserve">Varianta převodu konkrétní částky:</w:t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Prosím o převod mezi mými účty Edward. Převeďte prosím z účtu číslo (číslo investiční smlouvy, variabilní symbol pro vklady) na účet číslo (číslo investiční smlouvy, variabilní symbol pro vklady) ve výši ………… na vlastní žádost. Prostředky pro převod budou z peněženky/krátkodobého/střednědobého/dlouhodobého portfolia číslo ……… (číslo modelového portfolia, např. ESG8) a budou převedeny do peněženky/krátkodobého/střednědobého/dlouhodobého portfolia číslo ……… (číslo modelového portfolia, např. MP1).</w:t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1% převodu bude převedeno z Peněženky původního účtu na Peněženku cílového účtu.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Tuto formulaci pouze, pokud nejde převod z Peněženky nebo na Peněženku.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Beru na vědomí, že mohu prodávat cenné papíry ve ztrátě.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Tuto formulaci pouze, pokud je změna složení portfolia.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 ExtraBold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pict>
        <v:shape id="WordPictureWatermark1" style="position:absolute;width:595.8748818897639pt;height:842.874724409448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c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3cb14" w:space="6" w:sz="18" w:val="single"/>
      </w:pBdr>
      <w:spacing w:after="400" w:before="400" w:line="240" w:lineRule="auto"/>
    </w:pPr>
    <w:rPr>
      <w:rFonts w:ascii="Playfair Display ExtraBold" w:cs="Playfair Display ExtraBold" w:eastAsia="Playfair Display ExtraBold" w:hAnsi="Playfair Display ExtraBold"/>
      <w:color w:val="000000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6" w:sz="0" w:val="none"/>
        <w:left w:color="000000" w:space="6" w:sz="0" w:val="none"/>
        <w:bottom w:color="000000" w:space="6" w:sz="0" w:val="none"/>
        <w:right w:color="000000" w:space="6" w:sz="0" w:val="none"/>
      </w:pBdr>
      <w:spacing w:before="600" w:lineRule="auto"/>
    </w:pPr>
    <w:rPr>
      <w:b w:val="1"/>
      <w:color w:val="f3cb1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60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3cb14" w:space="6" w:sz="18" w:val="single"/>
      </w:pBdr>
      <w:spacing w:after="400" w:before="400" w:line="240" w:lineRule="auto"/>
    </w:pPr>
    <w:rPr>
      <w:rFonts w:ascii="Playfair Display ExtraBold" w:cs="Playfair Display ExtraBold" w:eastAsia="Playfair Display ExtraBold" w:hAnsi="Playfair Display ExtraBold"/>
      <w:color w:val="000000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6" w:sz="0" w:val="none"/>
        <w:left w:color="000000" w:space="6" w:sz="0" w:val="none"/>
        <w:bottom w:color="000000" w:space="6" w:sz="0" w:val="none"/>
        <w:right w:color="000000" w:space="6" w:sz="0" w:val="none"/>
      </w:pBdr>
      <w:spacing w:before="600" w:lineRule="auto"/>
    </w:pPr>
    <w:rPr>
      <w:b w:val="1"/>
      <w:color w:val="f3cb1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60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3cb14" w:space="6" w:sz="18" w:val="single"/>
      </w:pBdr>
      <w:spacing w:after="400" w:before="400" w:line="240" w:lineRule="auto"/>
    </w:pPr>
    <w:rPr>
      <w:rFonts w:ascii="Playfair Display ExtraBold" w:cs="Playfair Display ExtraBold" w:eastAsia="Playfair Display ExtraBold" w:hAnsi="Playfair Display ExtraBold"/>
      <w:color w:val="000000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auto" w:space="6" w:sz="0" w:val="none"/>
        <w:left w:color="auto" w:space="6" w:sz="0" w:val="none"/>
        <w:bottom w:color="auto" w:space="6" w:sz="0" w:val="none"/>
        <w:right w:color="auto" w:space="6" w:sz="0" w:val="none"/>
      </w:pBdr>
      <w:spacing w:before="600" w:lineRule="auto"/>
    </w:pPr>
    <w:rPr>
      <w:b w:val="1"/>
      <w:color w:val="f3cb1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60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layfairDisplayExtraBold-bold.ttf"/><Relationship Id="rId6" Type="http://schemas.openxmlformats.org/officeDocument/2006/relationships/font" Target="fonts/PlayfairDisplayExtra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yxD817kcbTJjD/ixAjStSCeboA==">CgMxLjAyCGguZ2pkZ3hzMg1oLnBkZTQwbmE1cWJkMg5oLnZuMjZkZmk0cWJtMTIOaC44ZW55a3B6YmsydWwyDmguMWppc20yYm42aWRrOAByITFIbm9Wbm9UOFRVdFNic3RDOVV3MWhVemZoeGJNS3BkMQ==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